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B02D5F">
        <w:rPr>
          <w:b/>
        </w:rPr>
        <w:t xml:space="preserve"> AMBULANT MEDEWERKER 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62DF0" w:rsidRPr="00712607" w:rsidTr="00A62DF0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A62DF0" w:rsidRPr="00712607" w:rsidRDefault="00A62DF0" w:rsidP="00A62DF0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36A" w:rsidRDefault="008727D5" w:rsidP="008727D5">
      <w:r w:rsidRPr="00B8556E">
        <w:t xml:space="preserve">De </w:t>
      </w:r>
      <w:r w:rsidR="0008436A">
        <w:t>ambulant medewerker</w:t>
      </w:r>
      <w:r w:rsidRPr="00B8556E">
        <w:t xml:space="preserve"> I is </w:t>
      </w:r>
      <w:r w:rsidR="0008436A">
        <w:t xml:space="preserve">werkzaam binnen de </w:t>
      </w:r>
      <w:r w:rsidR="00CD3E36">
        <w:t>visdetailhandel</w:t>
      </w:r>
      <w:r w:rsidR="0008436A">
        <w:t xml:space="preserve"> waarbij verkoop plaatsvindt op (week)markten op verschillende locaties in Nederland en/of een vaste standplaats. </w:t>
      </w:r>
    </w:p>
    <w:p w:rsidR="007710AE" w:rsidRPr="00D6482E" w:rsidRDefault="005A3FBD" w:rsidP="007710AE">
      <w:pPr>
        <w:rPr>
          <w:lang w:bidi="x-none"/>
        </w:rPr>
      </w:pPr>
      <w:r>
        <w:rPr>
          <w:lang w:bidi="x-none"/>
        </w:rPr>
        <w:t xml:space="preserve">De functiehouder </w:t>
      </w:r>
      <w:r w:rsidRPr="00D6482E">
        <w:rPr>
          <w:lang w:bidi="x-none"/>
        </w:rPr>
        <w:t xml:space="preserve">verkoopt </w:t>
      </w:r>
      <w:r>
        <w:rPr>
          <w:lang w:bidi="x-none"/>
        </w:rPr>
        <w:t>vis</w:t>
      </w:r>
      <w:r w:rsidRPr="00D6482E">
        <w:rPr>
          <w:lang w:bidi="x-none"/>
        </w:rPr>
        <w:t xml:space="preserve">producten </w:t>
      </w:r>
      <w:r w:rsidR="00FF536D">
        <w:rPr>
          <w:lang w:bidi="x-none"/>
        </w:rPr>
        <w:t>(vers en gebakken) en</w:t>
      </w:r>
      <w:r w:rsidRPr="00D6482E">
        <w:rPr>
          <w:lang w:bidi="x-none"/>
        </w:rPr>
        <w:t xml:space="preserve"> </w:t>
      </w:r>
      <w:r>
        <w:rPr>
          <w:lang w:bidi="x-none"/>
        </w:rPr>
        <w:t xml:space="preserve">beschikt over </w:t>
      </w:r>
      <w:r w:rsidR="00EE6B1C">
        <w:rPr>
          <w:lang w:bidi="x-none"/>
        </w:rPr>
        <w:t xml:space="preserve">basis </w:t>
      </w:r>
      <w:r>
        <w:rPr>
          <w:lang w:bidi="x-none"/>
        </w:rPr>
        <w:t xml:space="preserve">productkennis. Hij kan </w:t>
      </w:r>
      <w:r w:rsidR="009854A5">
        <w:rPr>
          <w:lang w:bidi="x-none"/>
        </w:rPr>
        <w:t xml:space="preserve">voor niet-routinematige werkzaamheden </w:t>
      </w:r>
      <w:r>
        <w:rPr>
          <w:lang w:bidi="x-none"/>
        </w:rPr>
        <w:t>terugvallen op de aanwezige collega</w:t>
      </w:r>
      <w:r w:rsidR="00585305">
        <w:rPr>
          <w:lang w:bidi="x-none"/>
        </w:rPr>
        <w:t xml:space="preserve"> </w:t>
      </w:r>
      <w:r w:rsidR="00640393">
        <w:rPr>
          <w:lang w:bidi="x-none"/>
        </w:rPr>
        <w:t>ambulant medewerker</w:t>
      </w:r>
      <w:r w:rsidR="009854A5">
        <w:rPr>
          <w:lang w:bidi="x-none"/>
        </w:rPr>
        <w:t>(s)</w:t>
      </w:r>
      <w:r>
        <w:rPr>
          <w:lang w:bidi="x-none"/>
        </w:rPr>
        <w:t xml:space="preserve"> en/of ambulant </w:t>
      </w:r>
      <w:r w:rsidR="00585305">
        <w:rPr>
          <w:lang w:bidi="x-none"/>
        </w:rPr>
        <w:t>bedrijfsleider</w:t>
      </w:r>
      <w:r>
        <w:rPr>
          <w:lang w:bidi="x-none"/>
        </w:rPr>
        <w:t xml:space="preserve">. De vis wordt gefileerd door de ambulant </w:t>
      </w:r>
      <w:r w:rsidR="00585305">
        <w:rPr>
          <w:lang w:bidi="x-none"/>
        </w:rPr>
        <w:t>bedrijfsleider</w:t>
      </w:r>
      <w:r>
        <w:rPr>
          <w:lang w:bidi="x-none"/>
        </w:rPr>
        <w:t xml:space="preserve">, maar andere werkzaamheden t.a.v. </w:t>
      </w:r>
      <w:r w:rsidR="009854A5">
        <w:rPr>
          <w:lang w:bidi="x-none"/>
        </w:rPr>
        <w:t xml:space="preserve">snijden </w:t>
      </w:r>
      <w:r>
        <w:rPr>
          <w:lang w:bidi="x-none"/>
        </w:rPr>
        <w:t>of bakken van visproducten</w:t>
      </w:r>
      <w:r w:rsidR="00640393">
        <w:rPr>
          <w:lang w:bidi="x-none"/>
        </w:rPr>
        <w:t xml:space="preserve"> voert hij zelfstandig uit</w:t>
      </w:r>
      <w:r>
        <w:rPr>
          <w:lang w:bidi="x-none"/>
        </w:rPr>
        <w:t xml:space="preserve">. Tevens </w:t>
      </w:r>
      <w:r w:rsidRPr="00D6482E">
        <w:rPr>
          <w:lang w:bidi="x-none"/>
        </w:rPr>
        <w:t>draagt</w:t>
      </w:r>
      <w:r>
        <w:rPr>
          <w:lang w:bidi="x-none"/>
        </w:rPr>
        <w:t xml:space="preserve"> de functiehouder</w:t>
      </w:r>
      <w:r w:rsidRPr="00D6482E">
        <w:rPr>
          <w:lang w:bidi="x-none"/>
        </w:rPr>
        <w:t xml:space="preserve"> zorg voor de juiste presentatie en beschikbaarheid van </w:t>
      </w:r>
      <w:r>
        <w:rPr>
          <w:lang w:bidi="x-none"/>
        </w:rPr>
        <w:t xml:space="preserve">producten en bereidt hij, </w:t>
      </w:r>
      <w:r w:rsidR="00640393">
        <w:rPr>
          <w:lang w:bidi="x-none"/>
        </w:rPr>
        <w:t xml:space="preserve">vaak </w:t>
      </w:r>
      <w:r>
        <w:rPr>
          <w:lang w:bidi="x-none"/>
        </w:rPr>
        <w:t xml:space="preserve">voorafgaand aan het transport naar de markt, conform opdracht </w:t>
      </w:r>
      <w:r w:rsidR="00640393">
        <w:rPr>
          <w:lang w:bidi="x-none"/>
        </w:rPr>
        <w:t xml:space="preserve">eenvoudige </w:t>
      </w:r>
      <w:r>
        <w:rPr>
          <w:lang w:bidi="x-none"/>
        </w:rPr>
        <w:t>pan-</w:t>
      </w:r>
      <w:r w:rsidR="00640393">
        <w:rPr>
          <w:lang w:bidi="x-none"/>
        </w:rPr>
        <w:t xml:space="preserve">, </w:t>
      </w:r>
      <w:r>
        <w:rPr>
          <w:lang w:bidi="x-none"/>
        </w:rPr>
        <w:t>oven</w:t>
      </w:r>
      <w:r w:rsidR="00640393">
        <w:rPr>
          <w:lang w:bidi="x-none"/>
        </w:rPr>
        <w:t xml:space="preserve">-, </w:t>
      </w:r>
      <w:r>
        <w:rPr>
          <w:lang w:bidi="x-none"/>
        </w:rPr>
        <w:t xml:space="preserve">en </w:t>
      </w:r>
      <w:proofErr w:type="spellStart"/>
      <w:r>
        <w:rPr>
          <w:lang w:bidi="x-none"/>
        </w:rPr>
        <w:t>vlugklare</w:t>
      </w:r>
      <w:proofErr w:type="spellEnd"/>
      <w:r>
        <w:rPr>
          <w:lang w:bidi="x-none"/>
        </w:rPr>
        <w:t xml:space="preserve"> producten en maaltijd(component)en. </w:t>
      </w:r>
      <w:r w:rsidR="007710AE">
        <w:rPr>
          <w:lang w:bidi="x-none"/>
        </w:rPr>
        <w:t>F</w:t>
      </w:r>
      <w:r w:rsidR="007710AE" w:rsidRPr="00236C26">
        <w:rPr>
          <w:lang w:bidi="x-none"/>
        </w:rPr>
        <w:t xml:space="preserve">unctiehouder </w:t>
      </w:r>
      <w:r w:rsidR="007710AE">
        <w:rPr>
          <w:lang w:bidi="x-none"/>
        </w:rPr>
        <w:t>voert werkzaamheden op basis van instructie en/of opdracht</w:t>
      </w:r>
      <w:r w:rsidR="007710AE" w:rsidRPr="00236C26">
        <w:rPr>
          <w:lang w:bidi="x-none"/>
        </w:rPr>
        <w:t xml:space="preserve"> </w:t>
      </w:r>
      <w:r w:rsidR="007710AE">
        <w:rPr>
          <w:lang w:bidi="x-none"/>
        </w:rPr>
        <w:t xml:space="preserve">uit en onder supervisie van een ambulant bedrijfsleider. </w:t>
      </w:r>
    </w:p>
    <w:p w:rsidR="005A3FBD" w:rsidRDefault="005A3FBD" w:rsidP="008727D5"/>
    <w:p w:rsidR="008727D5" w:rsidRPr="00712607" w:rsidRDefault="008727D5" w:rsidP="008727D5">
      <w:pPr>
        <w:ind w:right="-6"/>
      </w:pPr>
      <w:r>
        <w:t xml:space="preserve">De functie </w:t>
      </w:r>
      <w:r w:rsidR="0008436A">
        <w:t xml:space="preserve">ambulant medewerker </w:t>
      </w:r>
      <w:r>
        <w:t xml:space="preserve">wordt onderscheiden op </w:t>
      </w:r>
      <w:r w:rsidR="00C466BB">
        <w:t>twee</w:t>
      </w:r>
      <w:r>
        <w:t xml:space="preserve"> niveaus. De verschillen tussen de </w:t>
      </w:r>
      <w:r w:rsidR="0008436A">
        <w:t>ambulant medewerker</w:t>
      </w:r>
      <w:r>
        <w:t xml:space="preserve"> I</w:t>
      </w:r>
      <w:r w:rsidR="00C466BB">
        <w:t xml:space="preserve"> en 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Pr="005A3FBD" w:rsidRDefault="00D73612" w:rsidP="005A3FBD">
            <w:pPr>
              <w:ind w:right="-6"/>
              <w:rPr>
                <w:b/>
              </w:rPr>
            </w:pPr>
            <w:r>
              <w:rPr>
                <w:b/>
              </w:rPr>
              <w:t>(</w:t>
            </w:r>
            <w:r w:rsidR="005A3FBD" w:rsidRPr="005A3FBD">
              <w:rPr>
                <w:b/>
              </w:rPr>
              <w:t>Voor</w:t>
            </w:r>
            <w:r>
              <w:rPr>
                <w:b/>
              </w:rPr>
              <w:t>)</w:t>
            </w:r>
            <w:r w:rsidR="005A3FBD" w:rsidRPr="005A3FBD">
              <w:rPr>
                <w:b/>
              </w:rPr>
              <w:t>bereiding producten</w:t>
            </w:r>
          </w:p>
          <w:p w:rsidR="00D73612" w:rsidRDefault="005A3FBD" w:rsidP="005A3FBD">
            <w:pPr>
              <w:ind w:right="-6"/>
            </w:pPr>
            <w:r>
              <w:t>In de centrale werk</w:t>
            </w:r>
            <w:r w:rsidR="00F32FB4">
              <w:t>locatie</w:t>
            </w:r>
            <w:r>
              <w:t xml:space="preserve"> </w:t>
            </w:r>
            <w:r w:rsidR="00D73612">
              <w:t>zijn op basis van instructie</w:t>
            </w:r>
            <w:r>
              <w:t xml:space="preserve"> voorbereidende werkzaamheden uitgevoerd</w:t>
            </w:r>
            <w:r w:rsidR="00D73612">
              <w:t xml:space="preserve"> zoals</w:t>
            </w:r>
            <w:r w:rsidR="00BE2449">
              <w:t>:</w:t>
            </w:r>
          </w:p>
          <w:p w:rsidR="00414F77" w:rsidRDefault="00414F77" w:rsidP="00414F77">
            <w:pPr>
              <w:pStyle w:val="Opsom-streepjes"/>
            </w:pPr>
            <w:r>
              <w:t>klaarzetten van ingrediënten en hulpmiddelen;</w:t>
            </w:r>
          </w:p>
          <w:p w:rsidR="00D73612" w:rsidRDefault="005A3FBD" w:rsidP="00414F77">
            <w:pPr>
              <w:pStyle w:val="Opsom-streepjes"/>
            </w:pPr>
            <w:r>
              <w:t>schoonma</w:t>
            </w:r>
            <w:r w:rsidR="00D73612">
              <w:t xml:space="preserve">ken van </w:t>
            </w:r>
            <w:r>
              <w:t>vis</w:t>
            </w:r>
            <w:r w:rsidR="00D73612">
              <w:t>(producten);</w:t>
            </w:r>
            <w:r>
              <w:t xml:space="preserve"> </w:t>
            </w:r>
          </w:p>
          <w:p w:rsidR="0008436A" w:rsidRDefault="005A3FBD" w:rsidP="00F32FB4">
            <w:pPr>
              <w:pStyle w:val="Opsom-streepjes"/>
            </w:pPr>
            <w:r>
              <w:t>opmaken van salades/schalen</w:t>
            </w:r>
            <w:r w:rsidR="00D73612">
              <w:t>;</w:t>
            </w:r>
          </w:p>
          <w:p w:rsidR="00414F77" w:rsidRDefault="00414F77" w:rsidP="00414F77">
            <w:pPr>
              <w:pStyle w:val="Opsom-streepjes"/>
            </w:pPr>
            <w:r>
              <w:t>verpakken/inpakken van halffabricaten en/of eindproducten</w:t>
            </w:r>
            <w:r w:rsidR="00CB091E">
              <w:t>;</w:t>
            </w:r>
          </w:p>
          <w:p w:rsidR="005A3FBD" w:rsidRPr="00712607" w:rsidRDefault="00D73612" w:rsidP="00414F77">
            <w:pPr>
              <w:pStyle w:val="Opsom-streepjes"/>
            </w:pPr>
            <w:r>
              <w:t>bevoorraden van d</w:t>
            </w:r>
            <w:r w:rsidR="005A3FBD">
              <w:t>e verkoopwagen</w:t>
            </w:r>
            <w:r>
              <w:t>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752CBD" w:rsidRDefault="00752CBD" w:rsidP="007F31DC">
            <w:pPr>
              <w:pStyle w:val="Opsom-streepjes"/>
            </w:pPr>
            <w:r>
              <w:t>kwaliteit, snelheid bereiding;</w:t>
            </w:r>
          </w:p>
          <w:p w:rsidR="00600688" w:rsidRPr="00712607" w:rsidRDefault="00752CBD" w:rsidP="007F31DC">
            <w:pPr>
              <w:pStyle w:val="Opsom-streepjes"/>
            </w:pPr>
            <w:r w:rsidRPr="0001248F">
              <w:t xml:space="preserve">conform voorschriften (o.m. instructie, werkmethoden, </w:t>
            </w:r>
            <w:proofErr w:type="spellStart"/>
            <w:r w:rsidR="0036200B">
              <w:t>arbo</w:t>
            </w:r>
            <w:proofErr w:type="spellEnd"/>
            <w:r w:rsidR="0036200B">
              <w:t xml:space="preserve">, </w:t>
            </w:r>
            <w:r w:rsidRPr="0001248F">
              <w:t>HACCP en presentatie).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600688" w:rsidRDefault="005A3FBD" w:rsidP="005A3FB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 en afrekening</w:t>
            </w:r>
          </w:p>
          <w:p w:rsidR="005A3FBD" w:rsidRPr="00414F77" w:rsidRDefault="00414F77" w:rsidP="005A3FBD">
            <w:pPr>
              <w:ind w:right="-6"/>
            </w:pPr>
            <w:r>
              <w:t>Bestellingen van v</w:t>
            </w:r>
            <w:r w:rsidR="00752CBD">
              <w:t>isp</w:t>
            </w:r>
            <w:r w:rsidR="00BE2449" w:rsidRPr="0003031B">
              <w:t xml:space="preserve">roducten zijn </w:t>
            </w:r>
            <w:r>
              <w:t xml:space="preserve">aangenomen, klaargemaakt, ingepakt en </w:t>
            </w:r>
            <w:r w:rsidR="00BE2449" w:rsidRPr="0003031B">
              <w:t xml:space="preserve">op basis van </w:t>
            </w:r>
            <w:r w:rsidR="00BE2449">
              <w:t>stuksprijs en/of kilo</w:t>
            </w:r>
            <w:r w:rsidR="00BE2449" w:rsidRPr="0003031B">
              <w:t xml:space="preserve">prijzen verkocht en afgerekend (cash, elektronisch).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D73612" w:rsidRPr="00D6482E" w:rsidRDefault="00D73612" w:rsidP="007F31DC">
            <w:pPr>
              <w:pStyle w:val="Opsom-streepjes"/>
            </w:pPr>
            <w:r w:rsidRPr="00D6482E">
              <w:t>klanttevredenheid;</w:t>
            </w:r>
          </w:p>
          <w:p w:rsidR="00D73612" w:rsidRPr="00D6482E" w:rsidRDefault="007F31DC" w:rsidP="007F31DC">
            <w:pPr>
              <w:pStyle w:val="Opsom-streepjes"/>
              <w:numPr>
                <w:ilvl w:val="0"/>
                <w:numId w:val="0"/>
              </w:numPr>
              <w:ind w:left="284"/>
            </w:pPr>
            <w:r>
              <w:t>.</w:t>
            </w:r>
            <w:r>
              <w:tab/>
            </w:r>
            <w:r w:rsidR="00D73612" w:rsidRPr="00D6482E">
              <w:t>snelheid service;</w:t>
            </w:r>
          </w:p>
          <w:p w:rsidR="00D73612" w:rsidRPr="00D6482E" w:rsidRDefault="00D73612" w:rsidP="007F31DC">
            <w:pPr>
              <w:pStyle w:val="Opsom-streepjes"/>
              <w:numPr>
                <w:ilvl w:val="0"/>
                <w:numId w:val="0"/>
              </w:numPr>
              <w:ind w:left="568" w:hanging="284"/>
            </w:pPr>
            <w:r w:rsidRPr="00D6482E">
              <w:t>.</w:t>
            </w:r>
            <w:r w:rsidRPr="00D6482E">
              <w:tab/>
              <w:t>wijze van benadering;</w:t>
            </w:r>
          </w:p>
          <w:p w:rsidR="00D73612" w:rsidRPr="00D6482E" w:rsidRDefault="00D73612" w:rsidP="007F31DC">
            <w:pPr>
              <w:pStyle w:val="Opsom-streepjes"/>
            </w:pPr>
            <w:r w:rsidRPr="00D6482E">
              <w:t>correcte afrekening;</w:t>
            </w:r>
          </w:p>
          <w:p w:rsidR="00D73612" w:rsidRPr="00D6482E" w:rsidRDefault="00D73612" w:rsidP="007F31DC">
            <w:pPr>
              <w:pStyle w:val="Opsom-streepjes"/>
              <w:numPr>
                <w:ilvl w:val="0"/>
                <w:numId w:val="0"/>
              </w:numPr>
              <w:ind w:left="284"/>
            </w:pPr>
            <w:r w:rsidRPr="00D6482E">
              <w:t>.</w:t>
            </w:r>
            <w:r w:rsidRPr="00D6482E">
              <w:tab/>
              <w:t>aantal/omvang kas</w:t>
            </w:r>
            <w:r w:rsidRPr="00D6482E">
              <w:softHyphen/>
              <w:t>verschillen;</w:t>
            </w:r>
          </w:p>
          <w:p w:rsidR="00981D37" w:rsidRPr="00712607" w:rsidRDefault="00D73612" w:rsidP="007F31DC">
            <w:pPr>
              <w:pStyle w:val="Opsom-streepjes"/>
            </w:pPr>
            <w:r w:rsidRPr="00D6482E">
              <w:t>conform voorschriften (instructie, werkmethoden).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5A3FBD" w:rsidP="005A3FB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Verkoopondersteuning</w:t>
            </w:r>
          </w:p>
          <w:p w:rsidR="005A3FBD" w:rsidRPr="005A3FBD" w:rsidRDefault="00BE2449" w:rsidP="003A01DE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>De verkoopwagen</w:t>
            </w:r>
            <w:r w:rsidRPr="0003031B">
              <w:rPr>
                <w:color w:val="000000" w:themeColor="text1"/>
              </w:rPr>
              <w:t xml:space="preserve"> is ingericht zodoende dat er sprake is van correcte presentatie van </w:t>
            </w:r>
            <w:r w:rsidR="00752CBD">
              <w:rPr>
                <w:color w:val="000000" w:themeColor="text1"/>
              </w:rPr>
              <w:t>producten</w:t>
            </w:r>
            <w:r w:rsidRPr="0003031B">
              <w:rPr>
                <w:color w:val="000000" w:themeColor="text1"/>
              </w:rPr>
              <w:t>, prijzen e.d. Hierbij is gezorgd voor voldoende voorraad en zijn vitrines conform instructie ingericht en aangevuld.</w:t>
            </w:r>
            <w:r w:rsidR="00EF0941">
              <w:rPr>
                <w:color w:val="000000" w:themeColor="text1"/>
              </w:rPr>
              <w:t xml:space="preserve"> Ter ondersteuning van het verkoopproces zijn hand- en spandiensten verricht.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BE2449" w:rsidRPr="0003031B" w:rsidRDefault="00BE2449" w:rsidP="007F31DC">
            <w:pPr>
              <w:pStyle w:val="Opsom-streepjes"/>
            </w:pPr>
            <w:r w:rsidRPr="0003031B">
              <w:t>klanttevredenheid: uitstraling</w:t>
            </w:r>
            <w:r>
              <w:t xml:space="preserve"> verkoopwagen</w:t>
            </w:r>
            <w:r w:rsidRPr="0003031B">
              <w:t>;</w:t>
            </w:r>
          </w:p>
          <w:p w:rsidR="00BE2449" w:rsidRPr="0003031B" w:rsidRDefault="00BE2449" w:rsidP="007F31DC">
            <w:pPr>
              <w:pStyle w:val="Opsom-streepjes"/>
            </w:pPr>
            <w:r w:rsidRPr="0003031B">
              <w:t>tijdig gevulde vitrines;</w:t>
            </w:r>
          </w:p>
          <w:p w:rsidR="005A3FBD" w:rsidRDefault="00BE2449" w:rsidP="007F31DC">
            <w:pPr>
              <w:pStyle w:val="Opsom-streepjes"/>
            </w:pPr>
            <w:r w:rsidRPr="0003031B">
              <w:t>conform voorschriften (o.m. instructie, werkmethoden</w:t>
            </w:r>
            <w:r>
              <w:t xml:space="preserve"> </w:t>
            </w:r>
            <w:r w:rsidRPr="0003031B">
              <w:t>en presentatie)</w:t>
            </w:r>
            <w:r w:rsidR="00EF0941">
              <w:t>;</w:t>
            </w:r>
          </w:p>
          <w:p w:rsidR="00EF0941" w:rsidRPr="00712607" w:rsidRDefault="00EF0941" w:rsidP="007F31DC">
            <w:pPr>
              <w:pStyle w:val="Opsom-streepjes"/>
            </w:pPr>
            <w:r>
              <w:t>kwaliteit ondersteuning.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5A3FBD" w:rsidP="00D71EA4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schoonmaakwerkzaamheden</w:t>
            </w:r>
          </w:p>
          <w:p w:rsidR="00752CBD" w:rsidRDefault="00414F77" w:rsidP="00D71EA4">
            <w:pPr>
              <w:ind w:right="-6"/>
            </w:pPr>
            <w:r>
              <w:rPr>
                <w:color w:val="000000" w:themeColor="text1"/>
              </w:rPr>
              <w:t xml:space="preserve">Gebruikte materialen en hulpmiddelen zijn afgewassen, </w:t>
            </w:r>
            <w:r w:rsidR="00752CBD">
              <w:rPr>
                <w:color w:val="000000" w:themeColor="text1"/>
              </w:rPr>
              <w:t xml:space="preserve">de </w:t>
            </w:r>
            <w:r>
              <w:rPr>
                <w:color w:val="000000" w:themeColor="text1"/>
              </w:rPr>
              <w:t xml:space="preserve">werkplek en </w:t>
            </w:r>
            <w:r w:rsidR="00F32FB4">
              <w:rPr>
                <w:color w:val="000000" w:themeColor="text1"/>
              </w:rPr>
              <w:t xml:space="preserve">(omgeving van) de </w:t>
            </w:r>
            <w:r w:rsidR="00752CBD">
              <w:rPr>
                <w:color w:val="000000" w:themeColor="text1"/>
              </w:rPr>
              <w:t>verkoopwagen</w:t>
            </w:r>
            <w:r>
              <w:rPr>
                <w:color w:val="000000" w:themeColor="text1"/>
              </w:rPr>
              <w:t xml:space="preserve"> zijn</w:t>
            </w:r>
            <w:r w:rsidR="00752CBD" w:rsidRPr="0003031B">
              <w:rPr>
                <w:color w:val="000000" w:themeColor="text1"/>
              </w:rPr>
              <w:t xml:space="preserve"> opgeruimd en schoongemaakt.</w:t>
            </w:r>
          </w:p>
          <w:p w:rsidR="00752CBD" w:rsidRPr="005A3FBD" w:rsidRDefault="00752CBD" w:rsidP="00752CBD">
            <w:pPr>
              <w:ind w:right="-6"/>
            </w:pP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752CBD" w:rsidRPr="0003031B" w:rsidRDefault="00752CBD" w:rsidP="007F31DC">
            <w:pPr>
              <w:pStyle w:val="Opsom-streepjes"/>
            </w:pPr>
            <w:r w:rsidRPr="0003031B">
              <w:t>schoon en opgeruimd verkoop</w:t>
            </w:r>
            <w:r>
              <w:t>wagen;</w:t>
            </w:r>
          </w:p>
          <w:p w:rsidR="005A3FBD" w:rsidRPr="00712607" w:rsidRDefault="00752CBD" w:rsidP="007F31DC">
            <w:pPr>
              <w:pStyle w:val="Opsom-streepjes"/>
            </w:pPr>
            <w:r w:rsidRPr="0003031B">
              <w:t>conform voorschriften (o.m. instructie, werkmethoden</w:t>
            </w:r>
            <w:r w:rsidR="0036200B">
              <w:t xml:space="preserve">, </w:t>
            </w:r>
            <w:proofErr w:type="spellStart"/>
            <w:r w:rsidR="0036200B">
              <w:t>arbo</w:t>
            </w:r>
            <w:proofErr w:type="spellEnd"/>
            <w:r w:rsidR="0036200B">
              <w:t>, HACCP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2F61BA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F61BA" w:rsidRPr="00C24A5C" w:rsidTr="00B02D5F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436A" w:rsidRDefault="0008436A" w:rsidP="003A01DE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Krachtsinspanning bij het verplaatsen van (dozen) goederen en artikelen. Lopend en staand werken</w:t>
            </w:r>
            <w:r>
              <w:t>, veelal plaatsgebonden,</w:t>
            </w:r>
            <w:r w:rsidRPr="00D6482E">
              <w:t xml:space="preserve"> en soms bukken/reiken bij het stapelen/wegzetten van artikelen. </w:t>
            </w:r>
          </w:p>
          <w:p w:rsidR="005A3FBD" w:rsidRDefault="0008436A" w:rsidP="003A01DE">
            <w:pPr>
              <w:ind w:left="284" w:hanging="284"/>
            </w:pPr>
            <w:r>
              <w:t>-</w:t>
            </w:r>
            <w:r>
              <w:tab/>
            </w:r>
            <w:r w:rsidR="005A3FBD">
              <w:t>K</w:t>
            </w:r>
            <w:r>
              <w:t xml:space="preserve">oude bij het verplaatsen van producten/ingrediënten van/naar koelingen en warmte bij bereidingswerkzaamheden. </w:t>
            </w:r>
          </w:p>
          <w:p w:rsidR="005A3FBD" w:rsidRDefault="005A3FBD" w:rsidP="003A01DE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EC0CDC">
              <w:t>Hinder van wisselende (weers-)omstandigheden (</w:t>
            </w:r>
            <w:r>
              <w:t>semi-buiten werken)</w:t>
            </w:r>
            <w:r w:rsidR="007F31DC">
              <w:t>.</w:t>
            </w:r>
          </w:p>
          <w:p w:rsidR="002F61BA" w:rsidRPr="00C24A5C" w:rsidRDefault="0008436A" w:rsidP="003A01D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Kans op letsel bij het hanteren van messen</w:t>
            </w:r>
            <w:r>
              <w:t xml:space="preserve">, </w:t>
            </w:r>
            <w:r w:rsidRPr="0001248F">
              <w:t>bedienen van apparatuur, branden aan hete delen en uitglijden over (natte/vette) vloeren</w:t>
            </w:r>
            <w:r w:rsidRPr="00D6482E">
              <w:t>.</w:t>
            </w:r>
          </w:p>
        </w:tc>
      </w:tr>
      <w:tr w:rsidR="00B02D5F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B02D5F" w:rsidRPr="00D23D4D" w:rsidRDefault="00B02D5F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  <w:bookmarkStart w:id="0" w:name="_GoBack"/>
            <w:bookmarkEnd w:id="0"/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22" w:rsidRDefault="00600822" w:rsidP="0099201E">
      <w:r>
        <w:separator/>
      </w:r>
    </w:p>
  </w:endnote>
  <w:endnote w:type="continuationSeparator" w:id="0">
    <w:p w:rsidR="00600822" w:rsidRDefault="00600822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99201E" w:rsidRDefault="0099201E" w:rsidP="00EA7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22" w:rsidRDefault="00600822" w:rsidP="0099201E">
      <w:r>
        <w:separator/>
      </w:r>
    </w:p>
  </w:footnote>
  <w:footnote w:type="continuationSeparator" w:id="0">
    <w:p w:rsidR="00600822" w:rsidRDefault="00600822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08436A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AMBULANT MEDEWERKER</w:t>
    </w:r>
    <w:r w:rsidR="000A5478">
      <w:rPr>
        <w:b/>
        <w:sz w:val="28"/>
        <w:szCs w:val="28"/>
      </w:rPr>
      <w:t xml:space="preserve"> 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413FC"/>
    <w:rsid w:val="00073015"/>
    <w:rsid w:val="000741DF"/>
    <w:rsid w:val="0008436A"/>
    <w:rsid w:val="00086E69"/>
    <w:rsid w:val="00087C2C"/>
    <w:rsid w:val="000A5478"/>
    <w:rsid w:val="000B7F47"/>
    <w:rsid w:val="000D14DC"/>
    <w:rsid w:val="000E2288"/>
    <w:rsid w:val="000E7906"/>
    <w:rsid w:val="000F285E"/>
    <w:rsid w:val="00100BD9"/>
    <w:rsid w:val="00106E05"/>
    <w:rsid w:val="001240A6"/>
    <w:rsid w:val="00182CB5"/>
    <w:rsid w:val="001A5591"/>
    <w:rsid w:val="001E27BA"/>
    <w:rsid w:val="001F7342"/>
    <w:rsid w:val="002126F6"/>
    <w:rsid w:val="00234B05"/>
    <w:rsid w:val="00265B97"/>
    <w:rsid w:val="002F61BA"/>
    <w:rsid w:val="00343B60"/>
    <w:rsid w:val="003505CC"/>
    <w:rsid w:val="00351656"/>
    <w:rsid w:val="00351F55"/>
    <w:rsid w:val="00360957"/>
    <w:rsid w:val="0036200B"/>
    <w:rsid w:val="00371E89"/>
    <w:rsid w:val="00381A2A"/>
    <w:rsid w:val="00392C0C"/>
    <w:rsid w:val="003935D2"/>
    <w:rsid w:val="00397A57"/>
    <w:rsid w:val="003A01DE"/>
    <w:rsid w:val="003A26A5"/>
    <w:rsid w:val="003C553F"/>
    <w:rsid w:val="00403620"/>
    <w:rsid w:val="00405A69"/>
    <w:rsid w:val="00414F77"/>
    <w:rsid w:val="00432C22"/>
    <w:rsid w:val="00433188"/>
    <w:rsid w:val="00444B70"/>
    <w:rsid w:val="00462969"/>
    <w:rsid w:val="004E4675"/>
    <w:rsid w:val="004F28F0"/>
    <w:rsid w:val="004F7477"/>
    <w:rsid w:val="00510814"/>
    <w:rsid w:val="00534098"/>
    <w:rsid w:val="00536C4C"/>
    <w:rsid w:val="00540EE0"/>
    <w:rsid w:val="00543F11"/>
    <w:rsid w:val="0055566C"/>
    <w:rsid w:val="005602DB"/>
    <w:rsid w:val="005614ED"/>
    <w:rsid w:val="005648FE"/>
    <w:rsid w:val="0058273B"/>
    <w:rsid w:val="00585305"/>
    <w:rsid w:val="005A3F0D"/>
    <w:rsid w:val="005A3FBD"/>
    <w:rsid w:val="00600688"/>
    <w:rsid w:val="00600822"/>
    <w:rsid w:val="00624AFE"/>
    <w:rsid w:val="00640393"/>
    <w:rsid w:val="006566EC"/>
    <w:rsid w:val="00691166"/>
    <w:rsid w:val="006A32D9"/>
    <w:rsid w:val="006A6DB2"/>
    <w:rsid w:val="006B288D"/>
    <w:rsid w:val="006B4EAA"/>
    <w:rsid w:val="006C78DA"/>
    <w:rsid w:val="006D15B0"/>
    <w:rsid w:val="00712607"/>
    <w:rsid w:val="007318D4"/>
    <w:rsid w:val="00737AEA"/>
    <w:rsid w:val="00752CBD"/>
    <w:rsid w:val="00763599"/>
    <w:rsid w:val="007710AE"/>
    <w:rsid w:val="00782EEF"/>
    <w:rsid w:val="007A50D2"/>
    <w:rsid w:val="007E3370"/>
    <w:rsid w:val="007F31DC"/>
    <w:rsid w:val="00805083"/>
    <w:rsid w:val="00810A85"/>
    <w:rsid w:val="0082001C"/>
    <w:rsid w:val="008424ED"/>
    <w:rsid w:val="00857CC5"/>
    <w:rsid w:val="008727D5"/>
    <w:rsid w:val="008803C1"/>
    <w:rsid w:val="008A1010"/>
    <w:rsid w:val="008A1799"/>
    <w:rsid w:val="008C0525"/>
    <w:rsid w:val="008C39B6"/>
    <w:rsid w:val="008E6457"/>
    <w:rsid w:val="008F2937"/>
    <w:rsid w:val="00925CA3"/>
    <w:rsid w:val="00961A36"/>
    <w:rsid w:val="00967DA0"/>
    <w:rsid w:val="00980706"/>
    <w:rsid w:val="00981D37"/>
    <w:rsid w:val="009854A5"/>
    <w:rsid w:val="00986D86"/>
    <w:rsid w:val="0099201E"/>
    <w:rsid w:val="009F7CBF"/>
    <w:rsid w:val="00A07982"/>
    <w:rsid w:val="00A41CF0"/>
    <w:rsid w:val="00A62DF0"/>
    <w:rsid w:val="00AB7D1B"/>
    <w:rsid w:val="00AD2D46"/>
    <w:rsid w:val="00AD4BFA"/>
    <w:rsid w:val="00AF2F8A"/>
    <w:rsid w:val="00AF30C8"/>
    <w:rsid w:val="00B02D5F"/>
    <w:rsid w:val="00B27FD5"/>
    <w:rsid w:val="00B35FC4"/>
    <w:rsid w:val="00B54704"/>
    <w:rsid w:val="00B649AA"/>
    <w:rsid w:val="00B759B3"/>
    <w:rsid w:val="00BA0372"/>
    <w:rsid w:val="00BB0549"/>
    <w:rsid w:val="00BC3BEA"/>
    <w:rsid w:val="00BE1C46"/>
    <w:rsid w:val="00BE2449"/>
    <w:rsid w:val="00C13E85"/>
    <w:rsid w:val="00C274B6"/>
    <w:rsid w:val="00C40F45"/>
    <w:rsid w:val="00C466BB"/>
    <w:rsid w:val="00C879A3"/>
    <w:rsid w:val="00C9401B"/>
    <w:rsid w:val="00CA29B0"/>
    <w:rsid w:val="00CB091E"/>
    <w:rsid w:val="00CB1E06"/>
    <w:rsid w:val="00CB44AB"/>
    <w:rsid w:val="00CC32DF"/>
    <w:rsid w:val="00CC6D8C"/>
    <w:rsid w:val="00CD3E36"/>
    <w:rsid w:val="00D14D99"/>
    <w:rsid w:val="00D17BCF"/>
    <w:rsid w:val="00D20CB8"/>
    <w:rsid w:val="00D5676E"/>
    <w:rsid w:val="00D71EA4"/>
    <w:rsid w:val="00D73612"/>
    <w:rsid w:val="00D85325"/>
    <w:rsid w:val="00DE1848"/>
    <w:rsid w:val="00E4141D"/>
    <w:rsid w:val="00E612B6"/>
    <w:rsid w:val="00E71B48"/>
    <w:rsid w:val="00EA0C5C"/>
    <w:rsid w:val="00EA7D9A"/>
    <w:rsid w:val="00EE6B1C"/>
    <w:rsid w:val="00EF0941"/>
    <w:rsid w:val="00F32FB4"/>
    <w:rsid w:val="00F66ECB"/>
    <w:rsid w:val="00F85E54"/>
    <w:rsid w:val="00FC1D8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885B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11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11</cp:revision>
  <dcterms:created xsi:type="dcterms:W3CDTF">2021-01-05T10:42:00Z</dcterms:created>
  <dcterms:modified xsi:type="dcterms:W3CDTF">2021-08-23T13:57:00Z</dcterms:modified>
</cp:coreProperties>
</file>